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3B22" w14:textId="70D10FEE" w:rsidR="00B12354" w:rsidRDefault="00B12354" w:rsidP="00B1235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7D7A">
        <w:rPr>
          <w:rFonts w:asciiTheme="minorHAnsi" w:hAnsiTheme="minorHAnsi" w:cstheme="minorHAnsi"/>
          <w:b/>
          <w:bCs/>
          <w:sz w:val="24"/>
        </w:rPr>
        <w:t xml:space="preserve">Contrato Nº </w:t>
      </w:r>
      <w:r>
        <w:rPr>
          <w:rFonts w:asciiTheme="minorHAnsi" w:hAnsiTheme="minorHAnsi" w:cstheme="minorHAnsi"/>
          <w:b/>
          <w:bCs/>
          <w:sz w:val="24"/>
        </w:rPr>
        <w:t>22</w:t>
      </w:r>
      <w:r w:rsidRPr="00C17D7A">
        <w:rPr>
          <w:rFonts w:asciiTheme="minorHAnsi" w:hAnsiTheme="minorHAnsi" w:cstheme="minorHAnsi"/>
          <w:b/>
          <w:bCs/>
          <w:sz w:val="24"/>
        </w:rPr>
        <w:t>/</w:t>
      </w:r>
      <w:r>
        <w:rPr>
          <w:rFonts w:asciiTheme="minorHAnsi" w:hAnsiTheme="minorHAnsi" w:cstheme="minorHAnsi"/>
          <w:b/>
          <w:bCs/>
          <w:sz w:val="24"/>
        </w:rPr>
        <w:t>2023</w:t>
      </w:r>
      <w:r w:rsidRPr="00C17D7A">
        <w:rPr>
          <w:rFonts w:asciiTheme="minorHAnsi" w:hAnsiTheme="minorHAnsi" w:cstheme="minorHAnsi"/>
          <w:b/>
          <w:bCs/>
          <w:sz w:val="24"/>
        </w:rPr>
        <w:t xml:space="preserve"> – Fornecimento </w:t>
      </w:r>
      <w:r>
        <w:rPr>
          <w:rFonts w:asciiTheme="minorHAnsi" w:hAnsiTheme="minorHAnsi" w:cstheme="minorHAnsi"/>
          <w:b/>
          <w:sz w:val="24"/>
          <w:szCs w:val="24"/>
        </w:rPr>
        <w:t>parcelado de leite integral, durante o exercício de 2023</w:t>
      </w:r>
    </w:p>
    <w:p w14:paraId="5B7B5F04" w14:textId="77777777" w:rsidR="00B12354" w:rsidRDefault="00B12354" w:rsidP="00B1235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F90A3A" w14:textId="77777777" w:rsidR="00B12354" w:rsidRPr="00672CFB" w:rsidRDefault="00B12354" w:rsidP="00B1235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72CFB">
        <w:rPr>
          <w:rFonts w:asciiTheme="minorHAnsi" w:hAnsiTheme="minorHAnsi" w:cstheme="minorHAnsi"/>
          <w:b/>
          <w:bCs/>
          <w:sz w:val="24"/>
        </w:rPr>
        <w:t>Processo Nº</w:t>
      </w:r>
      <w:r>
        <w:rPr>
          <w:rFonts w:asciiTheme="minorHAnsi" w:hAnsiTheme="minorHAnsi" w:cstheme="minorHAnsi"/>
          <w:b/>
          <w:bCs/>
          <w:sz w:val="24"/>
        </w:rPr>
        <w:t xml:space="preserve"> 708</w:t>
      </w:r>
      <w:r w:rsidRPr="00672CFB">
        <w:rPr>
          <w:rFonts w:asciiTheme="minorHAnsi" w:hAnsiTheme="minorHAnsi" w:cstheme="minorHAnsi"/>
          <w:b/>
          <w:bCs/>
          <w:sz w:val="24"/>
        </w:rPr>
        <w:t>/202</w:t>
      </w:r>
      <w:r>
        <w:rPr>
          <w:rFonts w:asciiTheme="minorHAnsi" w:hAnsiTheme="minorHAnsi" w:cstheme="minorHAnsi"/>
          <w:b/>
          <w:bCs/>
          <w:sz w:val="24"/>
        </w:rPr>
        <w:t>2</w:t>
      </w:r>
    </w:p>
    <w:p w14:paraId="3B0A0A85" w14:textId="77777777" w:rsidR="00B12354" w:rsidRDefault="00B12354" w:rsidP="00B1235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72CFB">
        <w:rPr>
          <w:rFonts w:asciiTheme="minorHAnsi" w:hAnsiTheme="minorHAnsi" w:cstheme="minorHAnsi"/>
          <w:b/>
          <w:bCs/>
          <w:sz w:val="24"/>
        </w:rPr>
        <w:t xml:space="preserve">Pregão </w:t>
      </w:r>
      <w:r>
        <w:rPr>
          <w:rFonts w:asciiTheme="minorHAnsi" w:hAnsiTheme="minorHAnsi" w:cstheme="minorHAnsi"/>
          <w:b/>
          <w:bCs/>
          <w:sz w:val="24"/>
        </w:rPr>
        <w:t>Eletrônico</w:t>
      </w:r>
      <w:r w:rsidRPr="00672CFB">
        <w:rPr>
          <w:rFonts w:asciiTheme="minorHAnsi" w:hAnsiTheme="minorHAnsi" w:cstheme="minorHAnsi"/>
          <w:b/>
          <w:bCs/>
          <w:sz w:val="24"/>
        </w:rPr>
        <w:t xml:space="preserve"> Nº </w:t>
      </w:r>
      <w:r>
        <w:rPr>
          <w:rFonts w:asciiTheme="minorHAnsi" w:hAnsiTheme="minorHAnsi" w:cstheme="minorHAnsi"/>
          <w:b/>
          <w:bCs/>
          <w:sz w:val="24"/>
        </w:rPr>
        <w:t>35</w:t>
      </w:r>
      <w:r w:rsidRPr="00672CFB">
        <w:rPr>
          <w:rFonts w:asciiTheme="minorHAnsi" w:hAnsiTheme="minorHAnsi" w:cstheme="minorHAnsi"/>
          <w:b/>
          <w:bCs/>
          <w:sz w:val="24"/>
        </w:rPr>
        <w:t>/202</w:t>
      </w:r>
      <w:r>
        <w:rPr>
          <w:rFonts w:asciiTheme="minorHAnsi" w:hAnsiTheme="minorHAnsi" w:cstheme="minorHAnsi"/>
          <w:b/>
          <w:bCs/>
          <w:sz w:val="24"/>
        </w:rPr>
        <w:t>2</w:t>
      </w:r>
      <w:r w:rsidRPr="00672CFB">
        <w:rPr>
          <w:rFonts w:asciiTheme="minorHAnsi" w:hAnsiTheme="minorHAnsi" w:cstheme="minorHAnsi"/>
          <w:b/>
          <w:bCs/>
          <w:sz w:val="24"/>
        </w:rPr>
        <w:cr/>
      </w:r>
    </w:p>
    <w:p w14:paraId="3BCB269D" w14:textId="42303BEE" w:rsidR="00B12354" w:rsidRDefault="00B12354" w:rsidP="00B12354">
      <w:pPr>
        <w:jc w:val="both"/>
        <w:rPr>
          <w:rFonts w:asciiTheme="minorHAnsi" w:hAnsiTheme="minorHAnsi" w:cstheme="minorHAnsi"/>
          <w:sz w:val="24"/>
          <w:szCs w:val="24"/>
        </w:rPr>
      </w:pPr>
      <w:r w:rsidRPr="00032ABC">
        <w:rPr>
          <w:rFonts w:asciiTheme="minorHAnsi" w:hAnsiTheme="minorHAnsi" w:cstheme="minorHAnsi"/>
          <w:b/>
          <w:bCs/>
          <w:sz w:val="24"/>
        </w:rPr>
        <w:t>Contratante:</w:t>
      </w:r>
      <w:r w:rsidRPr="00032ABC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>
        <w:rPr>
          <w:rFonts w:asciiTheme="minorHAnsi" w:hAnsiTheme="minorHAnsi" w:cstheme="minorHAnsi"/>
          <w:sz w:val="24"/>
          <w:szCs w:val="24"/>
        </w:rPr>
        <w:softHyphen/>
        <w:t xml:space="preserve">tado de São Paulo, neste ato representada pelo Senhor Presidente </w:t>
      </w:r>
      <w:r w:rsidR="00963B83">
        <w:rPr>
          <w:rFonts w:asciiTheme="minorHAnsi" w:hAnsiTheme="minorHAnsi" w:cstheme="minorHAnsi"/>
          <w:sz w:val="24"/>
          <w:szCs w:val="24"/>
        </w:rPr>
        <w:t>Wagner Alexandre de Oliveira</w:t>
      </w:r>
      <w:r>
        <w:rPr>
          <w:rFonts w:asciiTheme="minorHAnsi" w:hAnsiTheme="minorHAnsi" w:cstheme="minorHAnsi"/>
          <w:sz w:val="24"/>
          <w:szCs w:val="24"/>
        </w:rPr>
        <w:t>, portador do RG n.º</w:t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19.133.908-8 e CPF n.º 123.608.398-96</w:t>
      </w:r>
    </w:p>
    <w:p w14:paraId="7B952ECC" w14:textId="77777777" w:rsidR="00B12354" w:rsidRDefault="00B12354" w:rsidP="00B12354">
      <w:pPr>
        <w:jc w:val="both"/>
      </w:pPr>
    </w:p>
    <w:p w14:paraId="2531392E" w14:textId="77777777" w:rsidR="00B12354" w:rsidRPr="00032ABC" w:rsidRDefault="00B12354" w:rsidP="00B12354">
      <w:pPr>
        <w:jc w:val="both"/>
        <w:rPr>
          <w:rFonts w:asciiTheme="minorHAnsi" w:hAnsiTheme="minorHAnsi" w:cstheme="minorHAnsi"/>
          <w:sz w:val="24"/>
        </w:rPr>
      </w:pPr>
      <w:r w:rsidRPr="00032ABC">
        <w:rPr>
          <w:rFonts w:asciiTheme="minorHAnsi" w:hAnsiTheme="minorHAnsi" w:cstheme="minorHAnsi"/>
          <w:b/>
          <w:bCs/>
          <w:sz w:val="24"/>
        </w:rPr>
        <w:t>Contratada:</w:t>
      </w:r>
      <w:r w:rsidRPr="00032ABC">
        <w:rPr>
          <w:rFonts w:asciiTheme="minorHAnsi" w:hAnsiTheme="minorHAnsi" w:cstheme="minorHAnsi"/>
          <w:sz w:val="24"/>
        </w:rPr>
        <w:t xml:space="preserve"> </w:t>
      </w:r>
      <w:r w:rsidRPr="00E318BE">
        <w:rPr>
          <w:rFonts w:asciiTheme="minorHAnsi" w:hAnsiTheme="minorHAnsi" w:cstheme="minorHAnsi"/>
          <w:sz w:val="24"/>
        </w:rPr>
        <w:t>SUPERMERCADO MORADA DO SOL EIRELI</w:t>
      </w:r>
      <w:r>
        <w:rPr>
          <w:rFonts w:asciiTheme="minorHAnsi" w:hAnsiTheme="minorHAnsi" w:cstheme="minorHAnsi"/>
          <w:sz w:val="24"/>
        </w:rPr>
        <w:t xml:space="preserve">. </w:t>
      </w:r>
      <w:r w:rsidRPr="00032ABC">
        <w:rPr>
          <w:rFonts w:asciiTheme="minorHAnsi" w:hAnsiTheme="minorHAnsi" w:cstheme="minorHAnsi"/>
          <w:sz w:val="24"/>
        </w:rPr>
        <w:t xml:space="preserve">Inscrita no CNPJ </w:t>
      </w:r>
      <w:r w:rsidRPr="00E318BE">
        <w:rPr>
          <w:rFonts w:asciiTheme="minorHAnsi" w:hAnsiTheme="minorHAnsi" w:cstheme="minorHAnsi"/>
          <w:sz w:val="24"/>
        </w:rPr>
        <w:t>03.649.725/0001-01</w:t>
      </w:r>
      <w:r>
        <w:rPr>
          <w:rFonts w:asciiTheme="minorHAnsi" w:hAnsiTheme="minorHAnsi" w:cstheme="minorHAnsi"/>
          <w:sz w:val="24"/>
        </w:rPr>
        <w:t xml:space="preserve">, </w:t>
      </w:r>
      <w:r w:rsidRPr="00032ABC">
        <w:rPr>
          <w:rFonts w:asciiTheme="minorHAnsi" w:hAnsiTheme="minorHAnsi" w:cstheme="minorHAnsi"/>
          <w:sz w:val="24"/>
        </w:rPr>
        <w:t>estabelecida à</w:t>
      </w:r>
      <w:r>
        <w:rPr>
          <w:rFonts w:asciiTheme="minorHAnsi" w:hAnsiTheme="minorHAnsi" w:cstheme="minorHAnsi"/>
          <w:sz w:val="24"/>
        </w:rPr>
        <w:t xml:space="preserve"> Avenida</w:t>
      </w:r>
      <w:r w:rsidRPr="00E318BE">
        <w:rPr>
          <w:rFonts w:asciiTheme="minorHAnsi" w:hAnsiTheme="minorHAnsi" w:cstheme="minorHAnsi"/>
          <w:sz w:val="24"/>
        </w:rPr>
        <w:t xml:space="preserve"> SAO JERONIMO</w:t>
      </w:r>
      <w:r>
        <w:rPr>
          <w:rFonts w:asciiTheme="minorHAnsi" w:hAnsiTheme="minorHAnsi" w:cstheme="minorHAnsi"/>
          <w:sz w:val="24"/>
        </w:rPr>
        <w:t>, 2351</w:t>
      </w:r>
      <w:r w:rsidRPr="00032ABC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 xml:space="preserve">Morada do Sol, Americana – SP, </w:t>
      </w:r>
      <w:r w:rsidRPr="00032ABC">
        <w:rPr>
          <w:rFonts w:asciiTheme="minorHAnsi" w:hAnsiTheme="minorHAnsi" w:cstheme="minorHAnsi"/>
          <w:sz w:val="24"/>
        </w:rPr>
        <w:t xml:space="preserve">neste ato representada pelo Senhor </w:t>
      </w:r>
      <w:r w:rsidRPr="00E318BE">
        <w:rPr>
          <w:rFonts w:asciiTheme="minorHAnsi" w:hAnsiTheme="minorHAnsi" w:cstheme="minorHAnsi"/>
          <w:sz w:val="24"/>
        </w:rPr>
        <w:t>EUCLAIR JOSÉ POMPONIO</w:t>
      </w:r>
      <w:r w:rsidRPr="00032ABC">
        <w:rPr>
          <w:rFonts w:asciiTheme="minorHAnsi" w:hAnsiTheme="minorHAnsi" w:cstheme="minorHAnsi"/>
          <w:sz w:val="24"/>
        </w:rPr>
        <w:t xml:space="preserve"> portador</w:t>
      </w:r>
      <w:r>
        <w:rPr>
          <w:rFonts w:asciiTheme="minorHAnsi" w:hAnsiTheme="minorHAnsi" w:cstheme="minorHAnsi"/>
          <w:sz w:val="24"/>
        </w:rPr>
        <w:t xml:space="preserve"> do</w:t>
      </w:r>
      <w:r w:rsidRPr="00032ABC">
        <w:rPr>
          <w:rFonts w:asciiTheme="minorHAnsi" w:hAnsiTheme="minorHAnsi" w:cstheme="minorHAnsi"/>
          <w:sz w:val="24"/>
        </w:rPr>
        <w:t xml:space="preserve"> CPF n.º </w:t>
      </w:r>
      <w:r w:rsidRPr="00E318BE">
        <w:rPr>
          <w:rFonts w:asciiTheme="minorHAnsi" w:hAnsiTheme="minorHAnsi" w:cstheme="minorHAnsi"/>
          <w:sz w:val="24"/>
        </w:rPr>
        <w:t>050.385.668-12</w:t>
      </w:r>
      <w:r>
        <w:rPr>
          <w:rFonts w:asciiTheme="minorHAnsi" w:hAnsiTheme="minorHAnsi" w:cstheme="minorHAnsi"/>
          <w:sz w:val="24"/>
        </w:rPr>
        <w:t>.</w:t>
      </w:r>
    </w:p>
    <w:p w14:paraId="72F2918C" w14:textId="77777777" w:rsidR="00B12354" w:rsidRDefault="00B12354" w:rsidP="00B1235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</w:rPr>
      </w:pPr>
    </w:p>
    <w:p w14:paraId="5EC6AEA7" w14:textId="77777777" w:rsidR="00B12354" w:rsidRPr="00E3407D" w:rsidRDefault="00B12354" w:rsidP="00B12354">
      <w:pPr>
        <w:pStyle w:val="ListParagraph"/>
        <w:numPr>
          <w:ilvl w:val="0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Primeira – Objeto</w:t>
      </w:r>
    </w:p>
    <w:p w14:paraId="0727342F" w14:textId="116A0B43" w:rsidR="00B12354" w:rsidRDefault="00B12354" w:rsidP="00B12354">
      <w:pPr>
        <w:pStyle w:val="ListParagraph"/>
        <w:numPr>
          <w:ilvl w:val="1"/>
          <w:numId w:val="1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 xml:space="preserve">O presente contrato tem como finalidade o fornecimento parcelado de </w:t>
      </w:r>
      <w:r>
        <w:rPr>
          <w:rFonts w:asciiTheme="minorHAnsi" w:hAnsiTheme="minorHAnsi" w:cstheme="minorHAnsi"/>
          <w:bCs/>
          <w:sz w:val="24"/>
          <w:szCs w:val="24"/>
        </w:rPr>
        <w:t xml:space="preserve">leite integral 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para 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 de Piracicaba, </w:t>
      </w:r>
      <w:r>
        <w:rPr>
          <w:rFonts w:asciiTheme="minorHAnsi" w:hAnsiTheme="minorHAnsi" w:cstheme="minorHAnsi"/>
          <w:bCs/>
          <w:sz w:val="24"/>
          <w:szCs w:val="24"/>
        </w:rPr>
        <w:t xml:space="preserve">durante o exercício de 2023, </w:t>
      </w:r>
      <w:r w:rsidRPr="00E3407D">
        <w:rPr>
          <w:rFonts w:asciiTheme="minorHAnsi" w:hAnsiTheme="minorHAnsi" w:cstheme="minorHAnsi"/>
          <w:bCs/>
          <w:sz w:val="24"/>
          <w:szCs w:val="24"/>
        </w:rPr>
        <w:t>conforme especificações a seguir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2C3EBD44" w14:textId="4F6E4E46" w:rsidR="00B12354" w:rsidRDefault="00B12354" w:rsidP="00B12354">
      <w:pPr>
        <w:pStyle w:val="ListParagraph"/>
        <w:spacing w:line="276" w:lineRule="auto"/>
        <w:ind w:left="792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21"/>
        <w:gridCol w:w="925"/>
        <w:gridCol w:w="1994"/>
        <w:gridCol w:w="1580"/>
        <w:gridCol w:w="1975"/>
      </w:tblGrid>
      <w:tr w:rsidR="00B12354" w:rsidRPr="003A4515" w14:paraId="124AE192" w14:textId="77777777" w:rsidTr="00B12354">
        <w:trPr>
          <w:trHeight w:val="497"/>
        </w:trPr>
        <w:tc>
          <w:tcPr>
            <w:tcW w:w="850" w:type="dxa"/>
            <w:shd w:val="clear" w:color="auto" w:fill="E0E0E0"/>
            <w:vAlign w:val="center"/>
          </w:tcPr>
          <w:p w14:paraId="67205395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  <w:b/>
              </w:rPr>
            </w:pPr>
            <w:r w:rsidRPr="003A4515">
              <w:rPr>
                <w:rFonts w:ascii="Calibri" w:hAnsi="Calibri" w:cs="Calibri"/>
                <w:b/>
                <w:bCs/>
                <w:sz w:val="32"/>
                <w:szCs w:val="32"/>
              </w:rPr>
              <w:br w:type="page"/>
            </w:r>
            <w:r w:rsidRPr="003A4515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1121" w:type="dxa"/>
            <w:shd w:val="clear" w:color="auto" w:fill="E0E0E0"/>
            <w:vAlign w:val="center"/>
          </w:tcPr>
          <w:p w14:paraId="5E337423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A4515">
              <w:rPr>
                <w:rFonts w:ascii="Calibri" w:hAnsi="Calibri" w:cs="Calibri"/>
                <w:b/>
              </w:rPr>
              <w:t>Qtde</w:t>
            </w:r>
            <w:proofErr w:type="spellEnd"/>
          </w:p>
        </w:tc>
        <w:tc>
          <w:tcPr>
            <w:tcW w:w="925" w:type="dxa"/>
            <w:shd w:val="clear" w:color="auto" w:fill="E0E0E0"/>
            <w:vAlign w:val="center"/>
          </w:tcPr>
          <w:p w14:paraId="76FB49F7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  <w:b/>
              </w:rPr>
            </w:pPr>
            <w:r w:rsidRPr="003A4515">
              <w:rPr>
                <w:rFonts w:ascii="Calibri" w:hAnsi="Calibri" w:cs="Calibri"/>
                <w:b/>
              </w:rPr>
              <w:t>Unid.</w:t>
            </w:r>
          </w:p>
        </w:tc>
        <w:tc>
          <w:tcPr>
            <w:tcW w:w="1994" w:type="dxa"/>
            <w:shd w:val="clear" w:color="auto" w:fill="E0E0E0"/>
            <w:vAlign w:val="center"/>
          </w:tcPr>
          <w:p w14:paraId="21516E1C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  <w:b/>
              </w:rPr>
            </w:pPr>
            <w:r w:rsidRPr="003A4515">
              <w:rPr>
                <w:rFonts w:ascii="Calibri" w:hAnsi="Calibri" w:cs="Calibri"/>
                <w:b/>
              </w:rPr>
              <w:t>Descrição</w:t>
            </w:r>
          </w:p>
        </w:tc>
        <w:tc>
          <w:tcPr>
            <w:tcW w:w="1580" w:type="dxa"/>
            <w:shd w:val="clear" w:color="auto" w:fill="E0E0E0"/>
            <w:vAlign w:val="center"/>
          </w:tcPr>
          <w:p w14:paraId="4BF9F8DF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  <w:b/>
              </w:rPr>
            </w:pPr>
            <w:r w:rsidRPr="003A4515">
              <w:rPr>
                <w:rFonts w:ascii="Calibri" w:hAnsi="Calibri" w:cs="Calibri"/>
                <w:b/>
              </w:rPr>
              <w:t>Valor Unitário</w:t>
            </w:r>
          </w:p>
        </w:tc>
        <w:tc>
          <w:tcPr>
            <w:tcW w:w="1975" w:type="dxa"/>
            <w:shd w:val="clear" w:color="auto" w:fill="E0E0E0"/>
            <w:vAlign w:val="center"/>
          </w:tcPr>
          <w:p w14:paraId="4FCD4E8A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  <w:b/>
              </w:rPr>
            </w:pPr>
            <w:r w:rsidRPr="003A4515">
              <w:rPr>
                <w:rFonts w:ascii="Calibri" w:hAnsi="Calibri" w:cs="Calibri"/>
                <w:b/>
              </w:rPr>
              <w:t>Valor Total</w:t>
            </w:r>
          </w:p>
        </w:tc>
      </w:tr>
      <w:tr w:rsidR="00B12354" w:rsidRPr="003A4515" w14:paraId="534B1B92" w14:textId="77777777" w:rsidTr="00B12354">
        <w:trPr>
          <w:trHeight w:val="746"/>
        </w:trPr>
        <w:tc>
          <w:tcPr>
            <w:tcW w:w="850" w:type="dxa"/>
            <w:shd w:val="clear" w:color="auto" w:fill="auto"/>
            <w:vAlign w:val="center"/>
          </w:tcPr>
          <w:p w14:paraId="5DBC64EB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</w:rPr>
            </w:pPr>
            <w:r w:rsidRPr="003A4515">
              <w:rPr>
                <w:rFonts w:ascii="Calibri" w:hAnsi="Calibri" w:cs="Calibri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F788522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</w:rPr>
            </w:pPr>
            <w:r w:rsidRPr="003A4515">
              <w:rPr>
                <w:rFonts w:ascii="Calibri" w:hAnsi="Calibri" w:cs="Calibri"/>
              </w:rPr>
              <w:t>2.000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D982332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</w:rPr>
            </w:pPr>
            <w:r w:rsidRPr="003A4515">
              <w:rPr>
                <w:rFonts w:ascii="Calibri" w:hAnsi="Calibri" w:cs="Calibri"/>
              </w:rPr>
              <w:t>Unid.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08B17B3" w14:textId="77777777" w:rsidR="00B12354" w:rsidRPr="003A4515" w:rsidRDefault="00B12354" w:rsidP="001D0B8C">
            <w:pPr>
              <w:rPr>
                <w:rFonts w:ascii="Calibri" w:hAnsi="Calibri" w:cs="Calibri"/>
              </w:rPr>
            </w:pPr>
            <w:r w:rsidRPr="003A4515">
              <w:rPr>
                <w:rFonts w:ascii="Calibri" w:hAnsi="Calibri" w:cs="Calibri"/>
              </w:rPr>
              <w:t xml:space="preserve">Leite UHT/UAT; </w:t>
            </w:r>
            <w:proofErr w:type="gramStart"/>
            <w:r w:rsidRPr="003A4515">
              <w:rPr>
                <w:rFonts w:ascii="Calibri" w:hAnsi="Calibri" w:cs="Calibri"/>
              </w:rPr>
              <w:t>Integral</w:t>
            </w:r>
            <w:proofErr w:type="gramEnd"/>
            <w:r w:rsidRPr="003A4515">
              <w:rPr>
                <w:rFonts w:ascii="Calibri" w:hAnsi="Calibri" w:cs="Calibri"/>
              </w:rPr>
              <w:t>, 1L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318DC1B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</w:rPr>
            </w:pPr>
            <w:r w:rsidRPr="003A4515">
              <w:rPr>
                <w:rFonts w:ascii="Calibri" w:hAnsi="Calibri" w:cs="Calibri"/>
              </w:rPr>
              <w:t>R$ 6,45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BC0ECDA" w14:textId="77777777" w:rsidR="00B12354" w:rsidRPr="003A4515" w:rsidRDefault="00B12354" w:rsidP="001D0B8C">
            <w:pPr>
              <w:jc w:val="center"/>
              <w:rPr>
                <w:rFonts w:ascii="Calibri" w:hAnsi="Calibri" w:cs="Calibri"/>
              </w:rPr>
            </w:pPr>
            <w:r w:rsidRPr="003A4515">
              <w:rPr>
                <w:rFonts w:ascii="Calibri" w:hAnsi="Calibri" w:cs="Calibri"/>
              </w:rPr>
              <w:t>R$ 12.900,00</w:t>
            </w:r>
          </w:p>
        </w:tc>
      </w:tr>
    </w:tbl>
    <w:p w14:paraId="060997B0" w14:textId="77777777" w:rsidR="00B12354" w:rsidRPr="00032ABC" w:rsidRDefault="00B12354" w:rsidP="00B1235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301357A" w14:textId="77777777" w:rsidR="00B12354" w:rsidRPr="00E3407D" w:rsidRDefault="00B12354" w:rsidP="00B1235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6D5752" w14:textId="77777777" w:rsidR="00B12354" w:rsidRPr="00E3407D" w:rsidRDefault="00B12354" w:rsidP="00B12354">
      <w:pPr>
        <w:pStyle w:val="ListParagraph"/>
        <w:numPr>
          <w:ilvl w:val="0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Segunda – Recursos financeiros</w:t>
      </w:r>
    </w:p>
    <w:p w14:paraId="0DBBC201" w14:textId="3A2ED026" w:rsidR="00B12354" w:rsidRPr="00E3407D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presente instrumento terá o valor total estimado de </w:t>
      </w:r>
      <w:r w:rsidRPr="00E3407D">
        <w:rPr>
          <w:rFonts w:asciiTheme="minorHAnsi" w:hAnsiTheme="minorHAnsi" w:cstheme="minorHAnsi"/>
          <w:b/>
          <w:bCs/>
          <w:sz w:val="24"/>
          <w:szCs w:val="24"/>
        </w:rPr>
        <w:t xml:space="preserve">R$ </w:t>
      </w:r>
      <w:r>
        <w:rPr>
          <w:rFonts w:asciiTheme="minorHAnsi" w:hAnsiTheme="minorHAnsi" w:cstheme="minorHAnsi"/>
          <w:b/>
          <w:bCs/>
          <w:sz w:val="24"/>
          <w:szCs w:val="24"/>
        </w:rPr>
        <w:t>12.900,00 (Doze mil e novecentos reais)</w:t>
      </w:r>
    </w:p>
    <w:p w14:paraId="770E5256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As despesas decorrentes da contratação, objeto deste contrato, correrão à</w:t>
      </w:r>
      <w:r>
        <w:rPr>
          <w:rFonts w:asciiTheme="minorHAnsi" w:hAnsiTheme="minorHAnsi" w:cstheme="minorHAnsi"/>
          <w:bCs/>
          <w:sz w:val="24"/>
          <w:szCs w:val="24"/>
        </w:rPr>
        <w:t xml:space="preserve"> conta da dotação orçamentária Nº </w:t>
      </w:r>
      <w:r w:rsidRPr="00E3407D">
        <w:rPr>
          <w:rFonts w:asciiTheme="minorHAnsi" w:hAnsiTheme="minorHAnsi" w:cstheme="minorHAnsi"/>
          <w:bCs/>
          <w:sz w:val="24"/>
          <w:szCs w:val="24"/>
        </w:rPr>
        <w:t>01.031.0001.2.373.3.3.90.39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3407D"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 xml:space="preserve"> Outros materiais de consumo</w:t>
      </w:r>
      <w:r w:rsidRPr="00E3407D">
        <w:rPr>
          <w:rFonts w:asciiTheme="minorHAnsi" w:hAnsiTheme="minorHAnsi" w:cstheme="minorHAnsi"/>
          <w:bCs/>
          <w:sz w:val="24"/>
          <w:szCs w:val="24"/>
        </w:rPr>
        <w:t>, co</w:t>
      </w:r>
      <w:r>
        <w:rPr>
          <w:rFonts w:asciiTheme="minorHAnsi" w:hAnsiTheme="minorHAnsi" w:cstheme="minorHAnsi"/>
          <w:bCs/>
          <w:sz w:val="24"/>
          <w:szCs w:val="24"/>
        </w:rPr>
        <w:t>nstante para o exercício de 2023.</w:t>
      </w:r>
    </w:p>
    <w:p w14:paraId="7B79B35C" w14:textId="77777777" w:rsidR="00B12354" w:rsidRPr="00032E44" w:rsidRDefault="00B12354" w:rsidP="00B12354">
      <w:pPr>
        <w:pStyle w:val="ListParagraph"/>
        <w:numPr>
          <w:ilvl w:val="0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E44">
        <w:rPr>
          <w:rFonts w:asciiTheme="minorHAnsi" w:hAnsiTheme="minorHAnsi" w:cstheme="minorHAnsi"/>
          <w:b/>
          <w:sz w:val="24"/>
          <w:szCs w:val="24"/>
        </w:rPr>
        <w:t>Cláusula Terceira – Suporte Legal</w:t>
      </w:r>
    </w:p>
    <w:p w14:paraId="06E2D606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Este Contrato é regulado pelos seguintes dispositivos legais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4739528F" w14:textId="77777777" w:rsidR="00B12354" w:rsidRPr="00E3407D" w:rsidRDefault="00B12354" w:rsidP="00B12354">
      <w:pPr>
        <w:pStyle w:val="ListParagraph"/>
        <w:spacing w:after="160" w:line="276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a)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Lei Orgânica do Município de Piracicaba.</w:t>
      </w:r>
    </w:p>
    <w:p w14:paraId="7D21227E" w14:textId="77777777" w:rsidR="00B12354" w:rsidRPr="00E3407D" w:rsidRDefault="00B12354" w:rsidP="00B12354">
      <w:pPr>
        <w:pStyle w:val="ListParagraph"/>
        <w:spacing w:after="160" w:line="276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b)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Lei Federal n.º 10.520/02.</w:t>
      </w:r>
    </w:p>
    <w:p w14:paraId="7B354736" w14:textId="77777777" w:rsidR="00B12354" w:rsidRPr="00E3407D" w:rsidRDefault="00B12354" w:rsidP="00B12354">
      <w:pPr>
        <w:pStyle w:val="ListParagraph"/>
        <w:spacing w:after="160" w:line="276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lastRenderedPageBreak/>
        <w:t>c)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Resolução n.º 08/05.</w:t>
      </w:r>
    </w:p>
    <w:p w14:paraId="45F9E42B" w14:textId="77777777" w:rsidR="00B12354" w:rsidRDefault="00B12354" w:rsidP="00B12354">
      <w:pPr>
        <w:pStyle w:val="ListParagraph"/>
        <w:spacing w:after="160" w:line="276" w:lineRule="auto"/>
        <w:ind w:left="792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d)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Demais Disposições legais aplicáveis, inclusive subsidiariamente, as normas da lei n.º 8.666/93 e suas alterações.</w:t>
      </w:r>
    </w:p>
    <w:p w14:paraId="1EB321B6" w14:textId="77777777" w:rsidR="00B12354" w:rsidRDefault="00B12354" w:rsidP="00B12354">
      <w:pPr>
        <w:spacing w:after="16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Quarta – Administração e prazo de vigência</w:t>
      </w:r>
    </w:p>
    <w:p w14:paraId="5920FFA8" w14:textId="77777777" w:rsidR="00B12354" w:rsidRPr="00032ABC" w:rsidRDefault="00B12354" w:rsidP="00B12354">
      <w:pPr>
        <w:pStyle w:val="ListParagraph"/>
        <w:numPr>
          <w:ilvl w:val="0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vanish/>
          <w:sz w:val="24"/>
          <w:szCs w:val="24"/>
        </w:rPr>
      </w:pPr>
    </w:p>
    <w:p w14:paraId="61FCC73E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 xml:space="preserve">A gestão do </w:t>
      </w:r>
      <w:r>
        <w:rPr>
          <w:rFonts w:asciiTheme="minorHAnsi" w:hAnsiTheme="minorHAnsi" w:cstheme="minorHAnsi"/>
          <w:bCs/>
          <w:sz w:val="24"/>
          <w:szCs w:val="24"/>
        </w:rPr>
        <w:t>referido contrato será feita p</w:t>
      </w:r>
      <w:r w:rsidRPr="00E3407D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 servidor </w:t>
      </w:r>
      <w:r>
        <w:rPr>
          <w:rFonts w:asciiTheme="minorHAnsi" w:hAnsiTheme="minorHAnsi" w:cstheme="minorHAnsi"/>
          <w:bCs/>
          <w:sz w:val="24"/>
          <w:szCs w:val="24"/>
        </w:rPr>
        <w:t>a ser designado pelo Presidente.</w:t>
      </w:r>
    </w:p>
    <w:p w14:paraId="39746EFD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12333">
        <w:rPr>
          <w:rFonts w:asciiTheme="minorHAnsi" w:hAnsiTheme="minorHAnsi" w:cstheme="minorHAnsi"/>
          <w:bCs/>
          <w:sz w:val="24"/>
          <w:szCs w:val="24"/>
        </w:rPr>
        <w:t>As decisões e providências que ultrapassem a competência do representante deverão ser solicitadas a seus superiores, em tempo hábil, para a adoção das medidas convenientes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2D2B51B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presente Instrumento terá vigência de 12 (doze) me</w:t>
      </w:r>
      <w:r>
        <w:rPr>
          <w:rFonts w:asciiTheme="minorHAnsi" w:hAnsiTheme="minorHAnsi" w:cstheme="minorHAnsi"/>
          <w:bCs/>
          <w:sz w:val="24"/>
          <w:szCs w:val="24"/>
        </w:rPr>
        <w:t>ses, iniciando-se a partir de 02</w:t>
      </w:r>
      <w:r w:rsidRPr="006F424C">
        <w:rPr>
          <w:rFonts w:asciiTheme="minorHAnsi" w:hAnsiTheme="minorHAnsi" w:cstheme="minorHAnsi"/>
          <w:bCs/>
          <w:sz w:val="24"/>
          <w:szCs w:val="24"/>
        </w:rPr>
        <w:t>/0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Pr="006F424C">
        <w:rPr>
          <w:rFonts w:asciiTheme="minorHAnsi" w:hAnsiTheme="minorHAnsi" w:cstheme="minorHAnsi"/>
          <w:bCs/>
          <w:sz w:val="24"/>
          <w:szCs w:val="24"/>
        </w:rPr>
        <w:t>/202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, com término </w:t>
      </w:r>
      <w:r>
        <w:rPr>
          <w:rFonts w:asciiTheme="minorHAnsi" w:hAnsiTheme="minorHAnsi" w:cstheme="minorHAnsi"/>
          <w:bCs/>
          <w:sz w:val="24"/>
          <w:szCs w:val="24"/>
        </w:rPr>
        <w:t>previsto para o dia 31/12/2023.</w:t>
      </w:r>
    </w:p>
    <w:p w14:paraId="287A9471" w14:textId="77777777" w:rsidR="00B12354" w:rsidRPr="006F424C" w:rsidRDefault="00B12354" w:rsidP="00B12354">
      <w:pPr>
        <w:pStyle w:val="ListParagraph"/>
        <w:numPr>
          <w:ilvl w:val="0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Quinta – Pessoal</w:t>
      </w:r>
    </w:p>
    <w:p w14:paraId="019D7F68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Competirá à Contratada a admissão e registro de empregados necessários ao fornecimento contratado, correndo por sua conta todos os encargos sociais, seguros, exigências das leis trabalhistas e previdenciárias, enfim todos os custos provenientes da execução do fornecimento objeto do presente contrato, não tendo vínculo empregatício algum com 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22D6FC8" w14:textId="77777777" w:rsidR="00B12354" w:rsidRPr="006F424C" w:rsidRDefault="00B12354" w:rsidP="00B12354">
      <w:pPr>
        <w:pStyle w:val="ListParagraph"/>
        <w:numPr>
          <w:ilvl w:val="0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Sexta – Local de entrega e fornecimento</w:t>
      </w:r>
    </w:p>
    <w:p w14:paraId="74260B92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A Contratada deverá </w:t>
      </w:r>
      <w:r>
        <w:rPr>
          <w:rFonts w:asciiTheme="minorHAnsi" w:hAnsiTheme="minorHAnsi" w:cstheme="minorHAnsi"/>
          <w:bCs/>
          <w:sz w:val="24"/>
          <w:szCs w:val="24"/>
        </w:rPr>
        <w:t>realizar a entrega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no Refeitório d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Piracicaba, situada à Rua </w:t>
      </w:r>
      <w:r>
        <w:rPr>
          <w:rFonts w:asciiTheme="minorHAnsi" w:hAnsiTheme="minorHAnsi" w:cstheme="minorHAnsi"/>
          <w:bCs/>
          <w:sz w:val="24"/>
          <w:szCs w:val="24"/>
        </w:rPr>
        <w:t>São José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, nº </w:t>
      </w:r>
      <w:r>
        <w:rPr>
          <w:rFonts w:asciiTheme="minorHAnsi" w:hAnsiTheme="minorHAnsi" w:cstheme="minorHAnsi"/>
          <w:bCs/>
          <w:sz w:val="24"/>
          <w:szCs w:val="24"/>
        </w:rPr>
        <w:t>574 – Centro (Piracicaba/SP).</w:t>
      </w:r>
    </w:p>
    <w:p w14:paraId="7296C30E" w14:textId="77777777" w:rsidR="00B12354" w:rsidRPr="00116EB5" w:rsidRDefault="00B12354" w:rsidP="00B12354">
      <w:pPr>
        <w:pStyle w:val="ListParagraph"/>
        <w:numPr>
          <w:ilvl w:val="2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recebimento</w:t>
      </w:r>
      <w:r>
        <w:rPr>
          <w:rFonts w:asciiTheme="minorHAnsi" w:hAnsiTheme="minorHAnsi" w:cstheme="minorHAnsi"/>
          <w:bCs/>
          <w:sz w:val="24"/>
          <w:szCs w:val="24"/>
        </w:rPr>
        <w:t xml:space="preserve"> da entrega de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que trata o item acima far-se-á mediante recibo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CC5DE9C" w14:textId="77777777" w:rsidR="00B12354" w:rsidRPr="00544AC2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44AC2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Contratada</w:t>
      </w:r>
      <w:r w:rsidRPr="00544AC2">
        <w:rPr>
          <w:rFonts w:ascii="Calibri" w:hAnsi="Calibri" w:cs="Calibri"/>
          <w:sz w:val="24"/>
          <w:szCs w:val="24"/>
        </w:rPr>
        <w:t xml:space="preserve"> deverá entregar os produtos de forma parcelada, em até 05 (cinco) dias úteis a contar do recebimento da solicitação encaminhada pelo gestor do contrato.</w:t>
      </w:r>
    </w:p>
    <w:p w14:paraId="6DF9B726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Deverá ser dada</w:t>
      </w:r>
      <w:r w:rsidRPr="00081B3C">
        <w:rPr>
          <w:rFonts w:asciiTheme="minorHAnsi" w:hAnsiTheme="minorHAnsi" w:cstheme="minorHAnsi"/>
          <w:bCs/>
          <w:sz w:val="24"/>
          <w:szCs w:val="24"/>
        </w:rPr>
        <w:t xml:space="preserve"> prioridade aos pedidos da Câmara Municipal, tendo em vista problemas que possam surgir, como racionamento e/ou falta de produtos no mercado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FF41AA7" w14:textId="77777777" w:rsidR="00B12354" w:rsidRPr="00DD3467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Contratada deverá s</w:t>
      </w:r>
      <w:r w:rsidRPr="00DD3467">
        <w:rPr>
          <w:rFonts w:asciiTheme="minorHAnsi" w:hAnsiTheme="minorHAnsi" w:cstheme="minorHAnsi"/>
          <w:bCs/>
          <w:sz w:val="24"/>
          <w:szCs w:val="24"/>
        </w:rPr>
        <w:t>eguir programação da Câmara Municipal de Piracicaba quanto a data, local, quantidade e qualidade dos produtos a serem entregues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2AF373B" w14:textId="77777777" w:rsidR="00B12354" w:rsidRDefault="00B12354" w:rsidP="00B12354">
      <w:pPr>
        <w:pStyle w:val="ListParagraph"/>
        <w:numPr>
          <w:ilvl w:val="2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No caso de os produtos serem entregues em desacordo, </w:t>
      </w:r>
      <w:r>
        <w:rPr>
          <w:rFonts w:asciiTheme="minorHAnsi" w:hAnsiTheme="minorHAnsi" w:cstheme="minorHAnsi"/>
          <w:bCs/>
          <w:sz w:val="24"/>
          <w:szCs w:val="24"/>
        </w:rPr>
        <w:t>eles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serão devolvidos e deverão ser substituídos imediatamente por outros.</w:t>
      </w:r>
    </w:p>
    <w:p w14:paraId="46E6C5F9" w14:textId="77777777" w:rsidR="00B12354" w:rsidRPr="00DB4B2E" w:rsidRDefault="00B12354" w:rsidP="00B12354">
      <w:pPr>
        <w:pStyle w:val="ListParagraph"/>
        <w:numPr>
          <w:ilvl w:val="0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4B2E">
        <w:rPr>
          <w:rFonts w:asciiTheme="minorHAnsi" w:hAnsiTheme="minorHAnsi" w:cstheme="minorHAnsi"/>
          <w:b/>
          <w:bCs/>
          <w:sz w:val="24"/>
          <w:szCs w:val="24"/>
        </w:rPr>
        <w:t>Cláusula Sétima – Pagamentos</w:t>
      </w:r>
    </w:p>
    <w:p w14:paraId="1E45BEE5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lastRenderedPageBreak/>
        <w:t>Os pagamentos serão efetuados após as respectivas entregas parcelada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dos produtos, acompanhado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Nota Fiscal/Fatura discriminada de acordo com a Nota de Empenho, após a conferência dos produtos por um funcionário a ser indicado pelo Departamento </w:t>
      </w:r>
      <w:r>
        <w:rPr>
          <w:rFonts w:asciiTheme="minorHAnsi" w:hAnsiTheme="minorHAnsi" w:cstheme="minorHAnsi"/>
          <w:bCs/>
          <w:sz w:val="24"/>
          <w:szCs w:val="24"/>
        </w:rPr>
        <w:t xml:space="preserve">Administrativo e de Documentação </w:t>
      </w:r>
      <w:r w:rsidRPr="006F424C">
        <w:rPr>
          <w:rFonts w:asciiTheme="minorHAnsi" w:hAnsiTheme="minorHAnsi" w:cstheme="minorHAnsi"/>
          <w:bCs/>
          <w:sz w:val="24"/>
          <w:szCs w:val="24"/>
        </w:rPr>
        <w:t>desta Casa de Leis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4B91E12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pagamento será creditado em favor d</w:t>
      </w:r>
      <w:r>
        <w:rPr>
          <w:rFonts w:asciiTheme="minorHAnsi" w:hAnsiTheme="minorHAnsi" w:cstheme="minorHAnsi"/>
          <w:bCs/>
          <w:sz w:val="24"/>
          <w:szCs w:val="24"/>
        </w:rPr>
        <w:t xml:space="preserve">a Contratada, </w:t>
      </w:r>
      <w:r w:rsidRPr="002D677A">
        <w:rPr>
          <w:rFonts w:asciiTheme="minorHAnsi" w:hAnsiTheme="minorHAnsi" w:cstheme="minorHAnsi"/>
          <w:sz w:val="24"/>
          <w:szCs w:val="24"/>
        </w:rPr>
        <w:t>em até 15 dias a contar da emissão da Nota Fiscal</w:t>
      </w:r>
      <w:r w:rsidRPr="006F424C">
        <w:rPr>
          <w:rFonts w:asciiTheme="minorHAnsi" w:hAnsiTheme="minorHAnsi" w:cstheme="minorHAnsi"/>
          <w:bCs/>
          <w:sz w:val="24"/>
          <w:szCs w:val="24"/>
        </w:rPr>
        <w:t>, por meio de ordem bancária, devendo para isto, ficar explicitado o nome do Banco, agência, localidade e número da conta corrente em que deverá ser efetivado o crédito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7CC3924B" w14:textId="77777777" w:rsidR="00B12354" w:rsidRDefault="00B12354" w:rsidP="00B12354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Será procedida consulta on</w:t>
      </w:r>
      <w:r w:rsidRPr="008D0EA2">
        <w:rPr>
          <w:rFonts w:asciiTheme="minorHAnsi" w:hAnsiTheme="minorHAnsi" w:cstheme="minorHAnsi"/>
          <w:sz w:val="24"/>
          <w:szCs w:val="24"/>
        </w:rPr>
        <w:t>line junto aos órgãos correspondentes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antes do pagamento ser efetuado a licitante vencedora, para verificação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situação d</w:t>
      </w:r>
      <w:r>
        <w:rPr>
          <w:rFonts w:asciiTheme="minorHAnsi" w:hAnsiTheme="minorHAnsi" w:cstheme="minorHAnsi"/>
          <w:sz w:val="24"/>
          <w:szCs w:val="24"/>
        </w:rPr>
        <w:t>essa</w:t>
      </w:r>
      <w:r w:rsidRPr="008D0EA2">
        <w:rPr>
          <w:rFonts w:asciiTheme="minorHAnsi" w:hAnsiTheme="minorHAnsi" w:cstheme="minorHAnsi"/>
          <w:sz w:val="24"/>
          <w:szCs w:val="24"/>
        </w:rPr>
        <w:t>, relativamente às condições de habilitação exigidas 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Pregão, cujos resultados serão impressos e juntados aos autos do processo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próprio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5D04DE4" w14:textId="77777777" w:rsidR="00B12354" w:rsidRPr="002B461F" w:rsidRDefault="00B12354" w:rsidP="00B12354">
      <w:pPr>
        <w:pStyle w:val="ListParagraph"/>
        <w:spacing w:line="276" w:lineRule="auto"/>
        <w:ind w:left="12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490D67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Caso haja aplicação de multa, o valor será descontado de qualquer fatura ou crédito existente na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 em favor d</w:t>
      </w:r>
      <w:r>
        <w:rPr>
          <w:rFonts w:asciiTheme="minorHAnsi" w:hAnsiTheme="minorHAnsi" w:cstheme="minorHAnsi"/>
          <w:bCs/>
          <w:sz w:val="24"/>
          <w:szCs w:val="24"/>
        </w:rPr>
        <w:t>a Contratada</w:t>
      </w:r>
      <w:r w:rsidRPr="006F424C">
        <w:rPr>
          <w:rFonts w:asciiTheme="minorHAnsi" w:hAnsiTheme="minorHAnsi" w:cstheme="minorHAnsi"/>
          <w:bCs/>
          <w:sz w:val="24"/>
          <w:szCs w:val="24"/>
        </w:rPr>
        <w:t>. Caso a multa seja superior ao crédito eventualmente existente, a diferença será cobrada administrativamente, ou judicialmente, se necessário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3493FFB6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Nos casos de eventuais atrasos de pagamento, desde que a Contratada não tenha concorrido de alguma forma para tanto, fica convencionado que a taxa de atualização financeira devida pela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Piracicaba, entre a data acima referida e a correspondente ao efetivo adimplemento do fornecimento, será calculada com base no INPC/IBGE, conforme legislação pertinente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CC5B40C" w14:textId="77777777" w:rsidR="00B12354" w:rsidRPr="00B13343" w:rsidRDefault="00B12354" w:rsidP="00B12354">
      <w:pPr>
        <w:pStyle w:val="ListParagraph"/>
        <w:numPr>
          <w:ilvl w:val="2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3343">
        <w:rPr>
          <w:rFonts w:asciiTheme="minorHAnsi" w:hAnsiTheme="minorHAnsi" w:cstheme="minorHAnsi"/>
          <w:sz w:val="24"/>
          <w:szCs w:val="24"/>
        </w:rPr>
        <w:t>A licitante vencedora não poderá suspender o cumprimento de suas obrigações e deverá tolerar os possíveis atrasos de pagamentos, nos termos previstos no artigo 78, inciso XV, da Lei Federal n.º 8.666/93.</w:t>
      </w:r>
    </w:p>
    <w:p w14:paraId="3798FC6A" w14:textId="77777777" w:rsidR="00B12354" w:rsidRPr="006F424C" w:rsidRDefault="00B12354" w:rsidP="00B12354">
      <w:pPr>
        <w:pStyle w:val="ListParagraph"/>
        <w:numPr>
          <w:ilvl w:val="0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Oitava – Reajuste</w:t>
      </w:r>
    </w:p>
    <w:p w14:paraId="03183000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presente Contrato não sofrerá reajuste até o seu término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1F61A09" w14:textId="77777777" w:rsidR="00B12354" w:rsidRPr="006F424C" w:rsidRDefault="00B12354" w:rsidP="00B12354">
      <w:pPr>
        <w:pStyle w:val="ListParagraph"/>
        <w:numPr>
          <w:ilvl w:val="0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Nona – Rescisão</w:t>
      </w:r>
    </w:p>
    <w:p w14:paraId="6951A14A" w14:textId="77777777" w:rsidR="00B12354" w:rsidRDefault="00B12354" w:rsidP="00B12354">
      <w:pPr>
        <w:pStyle w:val="ListParagraph"/>
        <w:numPr>
          <w:ilvl w:val="1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Independentemente de interpelação judicial, se a empresa Contratada não cumprir as Cláusulas do Contrato, poderá o mesmo ser rescindido a qualquer momento pela empresa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BA57270" w14:textId="77777777" w:rsidR="00B12354" w:rsidRDefault="00B12354" w:rsidP="00B12354">
      <w:pPr>
        <w:pStyle w:val="ListParagraph"/>
        <w:numPr>
          <w:ilvl w:val="0"/>
          <w:numId w:val="1"/>
        </w:numPr>
        <w:spacing w:after="160" w:line="276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Décima – Penalidades</w:t>
      </w:r>
    </w:p>
    <w:p w14:paraId="15243BBC" w14:textId="77777777" w:rsidR="00B12354" w:rsidRDefault="00B12354" w:rsidP="00B12354">
      <w:pPr>
        <w:pStyle w:val="ListParagraph"/>
        <w:numPr>
          <w:ilvl w:val="1"/>
          <w:numId w:val="1"/>
        </w:numPr>
        <w:spacing w:line="276" w:lineRule="auto"/>
        <w:ind w:left="851" w:hanging="4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Pela inexecução total ou parcial </w:t>
      </w:r>
      <w:r>
        <w:rPr>
          <w:rFonts w:asciiTheme="minorHAnsi" w:hAnsiTheme="minorHAnsi" w:cstheme="minorHAnsi"/>
          <w:sz w:val="24"/>
          <w:szCs w:val="24"/>
        </w:rPr>
        <w:t>do fornecimento</w:t>
      </w:r>
      <w:r w:rsidRPr="004B4701">
        <w:rPr>
          <w:rFonts w:asciiTheme="minorHAnsi" w:hAnsiTheme="minorHAnsi" w:cstheme="minorHAnsi"/>
          <w:sz w:val="24"/>
          <w:szCs w:val="24"/>
        </w:rPr>
        <w:t xml:space="preserve"> objeto deste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Pregão, 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Piracicaba, poderá, garantida a prévia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defesa, aplicar à </w:t>
      </w:r>
      <w:r>
        <w:rPr>
          <w:rFonts w:asciiTheme="minorHAnsi" w:hAnsiTheme="minorHAnsi" w:cstheme="minorHAnsi"/>
          <w:sz w:val="24"/>
          <w:szCs w:val="24"/>
        </w:rPr>
        <w:t>Contratada</w:t>
      </w:r>
      <w:r w:rsidRPr="004B4701">
        <w:rPr>
          <w:rFonts w:asciiTheme="minorHAnsi" w:hAnsiTheme="minorHAnsi" w:cstheme="minorHAnsi"/>
          <w:sz w:val="24"/>
          <w:szCs w:val="24"/>
        </w:rPr>
        <w:t xml:space="preserve"> as seguintes sanções:</w:t>
      </w:r>
    </w:p>
    <w:p w14:paraId="2A145751" w14:textId="77777777" w:rsidR="00B12354" w:rsidRDefault="00B12354" w:rsidP="00B123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6684DB" w14:textId="77777777" w:rsidR="00B12354" w:rsidRDefault="00B12354" w:rsidP="00B12354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4B4701">
        <w:rPr>
          <w:rFonts w:asciiTheme="minorHAnsi" w:hAnsiTheme="minorHAnsi" w:cstheme="minorHAnsi"/>
          <w:sz w:val="24"/>
          <w:szCs w:val="24"/>
        </w:rPr>
        <w:t xml:space="preserve"> Advertência;</w:t>
      </w:r>
    </w:p>
    <w:p w14:paraId="1D03BBDF" w14:textId="77777777" w:rsidR="00B12354" w:rsidRDefault="00B12354" w:rsidP="00B12354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334B2C95" w14:textId="77777777" w:rsidR="00B12354" w:rsidRDefault="00B12354" w:rsidP="00B12354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</w:t>
      </w:r>
      <w:r w:rsidRPr="004B4701">
        <w:rPr>
          <w:rFonts w:asciiTheme="minorHAnsi" w:hAnsiTheme="minorHAnsi" w:cstheme="minorHAnsi"/>
          <w:sz w:val="24"/>
          <w:szCs w:val="24"/>
        </w:rPr>
        <w:t xml:space="preserve"> - Multa de 0,5% (zero vírgula cinco por cento) sobre o valor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contrato, por dia de atraso e por descumprimento das obrigações estabelecidas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no Edital do Pregão, recolhida no prazo máximo de 15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(quinze) dias corridos, uma vez comunicados oficialmente;</w:t>
      </w:r>
    </w:p>
    <w:p w14:paraId="65FA3069" w14:textId="77777777" w:rsidR="00B12354" w:rsidRDefault="00B12354" w:rsidP="00B12354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4A2015A5" w14:textId="77777777" w:rsidR="00B12354" w:rsidRDefault="00B12354" w:rsidP="00B12354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III</w:t>
      </w:r>
      <w:r>
        <w:rPr>
          <w:rFonts w:asciiTheme="minorHAnsi" w:hAnsiTheme="minorHAnsi" w:cstheme="minorHAnsi"/>
          <w:sz w:val="24"/>
          <w:szCs w:val="24"/>
        </w:rPr>
        <w:t xml:space="preserve"> - M</w:t>
      </w:r>
      <w:r w:rsidRPr="004B4701">
        <w:rPr>
          <w:rFonts w:asciiTheme="minorHAnsi" w:hAnsiTheme="minorHAnsi" w:cstheme="minorHAnsi"/>
          <w:sz w:val="24"/>
          <w:szCs w:val="24"/>
        </w:rPr>
        <w:t>ulta de 20% (vinte por cento) sobre o valor do contrato, no caso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inexecução total ou parcial do contrato, recolhida no prazo de 15 (quinze) dias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corridos, contado da comunicação oficial, sem embargo de indenização 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prejuízos porventura causados à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 pela 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execução parcial ou total do contrato;</w:t>
      </w:r>
    </w:p>
    <w:p w14:paraId="4BEB2B30" w14:textId="77777777" w:rsidR="00B12354" w:rsidRDefault="00B12354" w:rsidP="00B12354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17E4BEE2" w14:textId="77777777" w:rsidR="00B12354" w:rsidRDefault="00B12354" w:rsidP="00B12354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b/>
          <w:sz w:val="24"/>
          <w:szCs w:val="24"/>
        </w:rPr>
        <w:t>IV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Impedimento de licitar</w:t>
      </w:r>
      <w:r w:rsidRPr="004B4701">
        <w:rPr>
          <w:rFonts w:asciiTheme="minorHAnsi" w:hAnsiTheme="minorHAnsi" w:cstheme="minorHAnsi"/>
          <w:sz w:val="24"/>
          <w:szCs w:val="24"/>
        </w:rPr>
        <w:t xml:space="preserve"> e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contratar com a Administração, por prazo não superior a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4B4701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cinco</w:t>
      </w:r>
      <w:r w:rsidRPr="004B4701">
        <w:rPr>
          <w:rFonts w:asciiTheme="minorHAnsi" w:hAnsiTheme="minorHAnsi" w:cstheme="minorHAnsi"/>
          <w:sz w:val="24"/>
          <w:szCs w:val="24"/>
        </w:rPr>
        <w:t>) anos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F424C">
        <w:rPr>
          <w:rFonts w:asciiTheme="minorHAnsi" w:hAnsiTheme="minorHAnsi" w:cstheme="minorHAnsi"/>
          <w:bCs/>
          <w:sz w:val="24"/>
          <w:szCs w:val="24"/>
        </w:rPr>
        <w:t>garantido o direito prévio da citação e de ampla defesa, enquanto perdurar os motivos determinantes da punição ou até que seja promovida a reabilitação perante a própria autoridade que aplicou a penalidade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D7BB3E7" w14:textId="77777777" w:rsidR="00B12354" w:rsidRDefault="00B12354" w:rsidP="00B12354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4DB1698D" w14:textId="77777777" w:rsidR="00B12354" w:rsidRDefault="00B12354" w:rsidP="00B12354">
      <w:pPr>
        <w:pStyle w:val="ListParagraph"/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As sanções previstas no inciso I e IV do subitem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8D0EA2">
        <w:rPr>
          <w:rFonts w:asciiTheme="minorHAnsi" w:hAnsiTheme="minorHAnsi" w:cstheme="minorHAnsi"/>
          <w:sz w:val="24"/>
          <w:szCs w:val="24"/>
        </w:rPr>
        <w:t>.1 poderão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aplicadas juntamente com as dos incisos II ou III, facultada a defesa prévia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interessado, no respectivo processo, no prazo de 05 (cinco) dias úteis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2B2EC0" w14:textId="77777777" w:rsidR="00B12354" w:rsidRDefault="00B12354" w:rsidP="00B123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AD3E23" w14:textId="77777777" w:rsidR="00B12354" w:rsidRDefault="00B12354" w:rsidP="00B12354">
      <w:pPr>
        <w:pStyle w:val="ListParagraph"/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 xml:space="preserve">As penalidades serão obrigatoriamente registradas na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8D0EA2">
        <w:rPr>
          <w:rFonts w:asciiTheme="minorHAnsi" w:hAnsiTheme="minorHAnsi" w:cstheme="minorHAnsi"/>
          <w:sz w:val="24"/>
          <w:szCs w:val="24"/>
        </w:rPr>
        <w:t xml:space="preserve"> de Piracicaba, no caso de suspensão de licitar, o licitante deverá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descredenciado por igual período, sem prejuízos das multas previstas no Edital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e nas demais cominações legais.</w:t>
      </w:r>
    </w:p>
    <w:p w14:paraId="72359C01" w14:textId="77777777" w:rsidR="00B12354" w:rsidRPr="002D677A" w:rsidRDefault="00B12354" w:rsidP="00B12354">
      <w:pPr>
        <w:pStyle w:val="ListParagraph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AEC3A9" w14:textId="77777777" w:rsidR="00B12354" w:rsidRPr="002D677A" w:rsidRDefault="00B12354" w:rsidP="00B12354">
      <w:pPr>
        <w:pStyle w:val="ListParagraph"/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D677A">
        <w:rPr>
          <w:rFonts w:asciiTheme="minorHAnsi" w:hAnsiTheme="minorHAnsi" w:cstheme="minorHAnsi"/>
          <w:sz w:val="24"/>
          <w:szCs w:val="24"/>
        </w:rPr>
        <w:t xml:space="preserve">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garantido o direito prévio da citação e da ampla defesa. </w:t>
      </w:r>
    </w:p>
    <w:p w14:paraId="0494D016" w14:textId="77777777" w:rsidR="00B12354" w:rsidRPr="002D677A" w:rsidRDefault="00B12354" w:rsidP="00B12354">
      <w:pPr>
        <w:pStyle w:val="ListParagraph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FF9D7A" w14:textId="77777777" w:rsidR="00B12354" w:rsidRDefault="00B12354" w:rsidP="00B12354">
      <w:pPr>
        <w:pStyle w:val="ListParagraph"/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AF42A1">
        <w:rPr>
          <w:rFonts w:asciiTheme="minorHAnsi" w:hAnsiTheme="minorHAnsi" w:cstheme="minorHAnsi"/>
          <w:sz w:val="24"/>
          <w:szCs w:val="24"/>
        </w:rPr>
        <w:t xml:space="preserve"> As multas poderão ser descontadas dos pagamentos eventualmente devidos pela Administração ou recolhidos via depósito. Caso o pagamento não seja efetuado, o débito será encaminhado para execução em Dívida Ativa.</w:t>
      </w:r>
    </w:p>
    <w:p w14:paraId="78494814" w14:textId="77777777" w:rsidR="00B12354" w:rsidRDefault="00B12354" w:rsidP="00B12354">
      <w:pPr>
        <w:pStyle w:val="ListParagraph"/>
        <w:spacing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2E5F23A6" w14:textId="77777777" w:rsidR="00B12354" w:rsidRPr="00DB4B2E" w:rsidRDefault="00B12354" w:rsidP="00B12354">
      <w:pPr>
        <w:pStyle w:val="ListParagraph"/>
        <w:numPr>
          <w:ilvl w:val="0"/>
          <w:numId w:val="1"/>
        </w:numPr>
        <w:spacing w:after="240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4B2E">
        <w:rPr>
          <w:rFonts w:asciiTheme="minorHAnsi" w:hAnsiTheme="minorHAnsi" w:cstheme="minorHAnsi"/>
          <w:b/>
          <w:sz w:val="24"/>
          <w:szCs w:val="24"/>
        </w:rPr>
        <w:t>Cláusula Décima Primeira – Vinculação ao Processo Licitatório</w:t>
      </w:r>
    </w:p>
    <w:p w14:paraId="12E75EDD" w14:textId="77777777" w:rsidR="00B12354" w:rsidRPr="00AF42A1" w:rsidRDefault="00B12354" w:rsidP="00B12354">
      <w:pPr>
        <w:pStyle w:val="ListParagraph"/>
        <w:numPr>
          <w:ilvl w:val="1"/>
          <w:numId w:val="1"/>
        </w:numPr>
        <w:spacing w:after="160" w:line="276" w:lineRule="auto"/>
        <w:ind w:left="851" w:hanging="49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42A1">
        <w:rPr>
          <w:rFonts w:asciiTheme="minorHAnsi" w:hAnsiTheme="minorHAnsi" w:cstheme="minorHAnsi"/>
          <w:bCs/>
          <w:sz w:val="24"/>
          <w:szCs w:val="24"/>
        </w:rPr>
        <w:t xml:space="preserve"> Fica vinculado o presente instrumento ao Processo Administrativo Licitatório 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>
        <w:rPr>
          <w:rFonts w:asciiTheme="minorHAnsi" w:hAnsiTheme="minorHAnsi" w:cstheme="minorHAnsi"/>
          <w:b/>
          <w:bCs/>
          <w:sz w:val="24"/>
          <w:szCs w:val="24"/>
        </w:rPr>
        <w:t>708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>/2022</w:t>
      </w:r>
      <w:r w:rsidRPr="00AF42A1">
        <w:rPr>
          <w:rFonts w:asciiTheme="minorHAnsi" w:hAnsiTheme="minorHAnsi" w:cstheme="minorHAnsi"/>
          <w:bCs/>
          <w:sz w:val="24"/>
          <w:szCs w:val="24"/>
        </w:rPr>
        <w:t xml:space="preserve"> - Pregão Eletrônico 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>
        <w:rPr>
          <w:rFonts w:asciiTheme="minorHAnsi" w:hAnsiTheme="minorHAnsi" w:cstheme="minorHAnsi"/>
          <w:b/>
          <w:bCs/>
          <w:sz w:val="24"/>
          <w:szCs w:val="24"/>
        </w:rPr>
        <w:t>35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>/2022.</w:t>
      </w:r>
    </w:p>
    <w:p w14:paraId="512F09AB" w14:textId="77777777" w:rsidR="00B12354" w:rsidRDefault="00B12354" w:rsidP="00B12354">
      <w:pPr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>Para todas</w:t>
      </w:r>
      <w:r>
        <w:rPr>
          <w:rFonts w:asciiTheme="minorHAnsi" w:hAnsiTheme="minorHAnsi" w:cstheme="minorHAnsi"/>
          <w:bCs/>
          <w:sz w:val="24"/>
          <w:szCs w:val="24"/>
        </w:rPr>
        <w:t xml:space="preserve"> as </w:t>
      </w:r>
      <w:r w:rsidRPr="003866A3">
        <w:rPr>
          <w:rFonts w:asciiTheme="minorHAnsi" w:hAnsiTheme="minorHAnsi" w:cstheme="minorHAnsi"/>
          <w:bCs/>
          <w:sz w:val="24"/>
          <w:szCs w:val="24"/>
        </w:rPr>
        <w:t>questões suscitadas na execução do Contrato, não resolvidas administrativamente, fica eleito o foro da Comarca de Piracicaba</w:t>
      </w:r>
      <w:r>
        <w:rPr>
          <w:rFonts w:asciiTheme="minorHAnsi" w:hAnsiTheme="minorHAnsi" w:cstheme="minorHAnsi"/>
          <w:bCs/>
          <w:sz w:val="24"/>
          <w:szCs w:val="24"/>
        </w:rPr>
        <w:t>, com renúncia expressa de qual</w:t>
      </w:r>
      <w:r w:rsidRPr="003866A3">
        <w:rPr>
          <w:rFonts w:asciiTheme="minorHAnsi" w:hAnsiTheme="minorHAnsi" w:cstheme="minorHAnsi"/>
          <w:bCs/>
          <w:sz w:val="24"/>
          <w:szCs w:val="24"/>
        </w:rPr>
        <w:t>quer outro, por mais privilegiado que seja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492C69B" w14:textId="77777777" w:rsidR="00B12354" w:rsidRDefault="00B12354" w:rsidP="00B12354">
      <w:pPr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>E por estarem justas e contratadas, a</w:t>
      </w:r>
      <w:r>
        <w:rPr>
          <w:rFonts w:asciiTheme="minorHAnsi" w:hAnsiTheme="minorHAnsi" w:cstheme="minorHAnsi"/>
          <w:bCs/>
          <w:sz w:val="24"/>
          <w:szCs w:val="24"/>
        </w:rPr>
        <w:t>s partes assinam o presente ins</w:t>
      </w:r>
      <w:r w:rsidRPr="003866A3">
        <w:rPr>
          <w:rFonts w:asciiTheme="minorHAnsi" w:hAnsiTheme="minorHAnsi" w:cstheme="minorHAnsi"/>
          <w:bCs/>
          <w:sz w:val="24"/>
          <w:szCs w:val="24"/>
        </w:rPr>
        <w:t>trumento particular de contrato em 04 (quatro) vias de igu</w:t>
      </w:r>
      <w:r>
        <w:rPr>
          <w:rFonts w:asciiTheme="minorHAnsi" w:hAnsiTheme="minorHAnsi" w:cstheme="minorHAnsi"/>
          <w:bCs/>
          <w:sz w:val="24"/>
          <w:szCs w:val="24"/>
        </w:rPr>
        <w:t>al teor, for</w:t>
      </w:r>
      <w:r w:rsidRPr="003866A3">
        <w:rPr>
          <w:rFonts w:asciiTheme="minorHAnsi" w:hAnsiTheme="minorHAnsi" w:cstheme="minorHAnsi"/>
          <w:bCs/>
          <w:sz w:val="24"/>
          <w:szCs w:val="24"/>
        </w:rPr>
        <w:t>ma e efeito, com todas as folhas devidamente rubricadas.</w:t>
      </w:r>
    </w:p>
    <w:p w14:paraId="5DD9E7D9" w14:textId="0A3BDB2D" w:rsidR="00B12354" w:rsidRDefault="00B12354" w:rsidP="00B12354">
      <w:pPr>
        <w:spacing w:after="160" w:line="27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 xml:space="preserve">Piracicaba, </w:t>
      </w:r>
      <w:r>
        <w:rPr>
          <w:rFonts w:asciiTheme="minorHAnsi" w:hAnsiTheme="minorHAnsi" w:cstheme="minorHAnsi"/>
          <w:bCs/>
          <w:sz w:val="24"/>
          <w:szCs w:val="24"/>
        </w:rPr>
        <w:t>2 de janeiro de 2023</w:t>
      </w:r>
    </w:p>
    <w:p w14:paraId="0BA04AE0" w14:textId="77777777" w:rsidR="00B12354" w:rsidRDefault="00B12354" w:rsidP="00B12354">
      <w:pPr>
        <w:spacing w:after="160" w:line="259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F651B17" w14:textId="77777777" w:rsidR="00B12354" w:rsidRPr="003866A3" w:rsidRDefault="00B12354" w:rsidP="00B12354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Contratante</w:t>
      </w:r>
    </w:p>
    <w:p w14:paraId="4E53BBF0" w14:textId="49EB498E" w:rsidR="00092CBA" w:rsidRDefault="00963B83" w:rsidP="00B12354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Wagner Alexandre de Oliveira</w:t>
      </w:r>
      <w:r w:rsidR="00092CBA" w:rsidRPr="003866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7660F34" w14:textId="75300599" w:rsidR="00B12354" w:rsidRPr="003866A3" w:rsidRDefault="00B12354" w:rsidP="00B12354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Presidente da Câmara Municipal de Piracicaba</w:t>
      </w:r>
    </w:p>
    <w:p w14:paraId="31621E06" w14:textId="77777777" w:rsidR="00B12354" w:rsidRPr="003866A3" w:rsidRDefault="00B12354" w:rsidP="00B12354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541ABB9" w14:textId="77777777" w:rsidR="00B12354" w:rsidRPr="003866A3" w:rsidRDefault="00B12354" w:rsidP="00B12354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Contratada</w:t>
      </w:r>
    </w:p>
    <w:p w14:paraId="3365AC21" w14:textId="77777777" w:rsidR="00B12354" w:rsidRDefault="00B12354" w:rsidP="00B1235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318BE">
        <w:rPr>
          <w:rFonts w:asciiTheme="minorHAnsi" w:hAnsiTheme="minorHAnsi" w:cstheme="minorHAnsi"/>
          <w:b/>
          <w:bCs/>
          <w:sz w:val="24"/>
          <w:szCs w:val="24"/>
        </w:rPr>
        <w:t>EUCLAIR JOSÉ POMPONIO</w:t>
      </w:r>
    </w:p>
    <w:p w14:paraId="5E89323F" w14:textId="77777777" w:rsidR="00B12354" w:rsidRDefault="00B12354" w:rsidP="00B12354">
      <w:pPr>
        <w:jc w:val="center"/>
      </w:pPr>
      <w:r>
        <w:rPr>
          <w:rFonts w:asciiTheme="minorHAnsi" w:hAnsiTheme="minorHAnsi" w:cstheme="minorHAnsi"/>
          <w:b/>
          <w:bCs/>
          <w:sz w:val="24"/>
          <w:szCs w:val="24"/>
        </w:rPr>
        <w:t>Supermercado Morada do Sol EIRELI</w:t>
      </w:r>
    </w:p>
    <w:p w14:paraId="632EC6DB" w14:textId="77777777" w:rsidR="00D758F2" w:rsidRDefault="00D758F2"/>
    <w:sectPr w:rsidR="00D758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A075" w14:textId="77777777" w:rsidR="00B12354" w:rsidRDefault="00B12354" w:rsidP="00B12354">
      <w:r>
        <w:separator/>
      </w:r>
    </w:p>
  </w:endnote>
  <w:endnote w:type="continuationSeparator" w:id="0">
    <w:p w14:paraId="6F953587" w14:textId="77777777" w:rsidR="00B12354" w:rsidRDefault="00B12354" w:rsidP="00B1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A7AD" w14:textId="77777777" w:rsidR="00B12354" w:rsidRDefault="00B12354" w:rsidP="00B12354">
      <w:r>
        <w:separator/>
      </w:r>
    </w:p>
  </w:footnote>
  <w:footnote w:type="continuationSeparator" w:id="0">
    <w:p w14:paraId="3ED4BCF6" w14:textId="77777777" w:rsidR="00B12354" w:rsidRDefault="00B12354" w:rsidP="00B1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3075" w14:textId="77777777" w:rsidR="00B12354" w:rsidRPr="00772005" w:rsidRDefault="00B12354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0EF998D" wp14:editId="55B15EE3">
          <wp:simplePos x="0" y="0"/>
          <wp:positionH relativeFrom="column">
            <wp:posOffset>-537210</wp:posOffset>
          </wp:positionH>
          <wp:positionV relativeFrom="paragraph">
            <wp:posOffset>-222885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700CC3A8" w14:textId="77777777" w:rsidR="00B12354" w:rsidRPr="00772005" w:rsidRDefault="00B12354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34BAE4FD" w14:textId="77777777" w:rsidR="00B12354" w:rsidRPr="00772005" w:rsidRDefault="00B12354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1251AC2C" w14:textId="77777777" w:rsidR="00B12354" w:rsidRDefault="00B12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9C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301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1A"/>
    <w:rsid w:val="00092CBA"/>
    <w:rsid w:val="008F671A"/>
    <w:rsid w:val="00963B83"/>
    <w:rsid w:val="00B12354"/>
    <w:rsid w:val="00D2460A"/>
    <w:rsid w:val="00D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3A24"/>
  <w15:chartTrackingRefBased/>
  <w15:docId w15:val="{8FBE75F8-720F-4C81-8D99-1664FD08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35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354"/>
  </w:style>
  <w:style w:type="paragraph" w:styleId="Footer">
    <w:name w:val="footer"/>
    <w:basedOn w:val="Normal"/>
    <w:link w:val="FooterChar"/>
    <w:uiPriority w:val="99"/>
    <w:unhideWhenUsed/>
    <w:rsid w:val="00B1235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354"/>
  </w:style>
  <w:style w:type="paragraph" w:styleId="ListParagraph">
    <w:name w:val="List Paragraph"/>
    <w:basedOn w:val="Normal"/>
    <w:uiPriority w:val="34"/>
    <w:qFormat/>
    <w:rsid w:val="00B12354"/>
    <w:pPr>
      <w:ind w:left="720"/>
      <w:contextualSpacing/>
    </w:pPr>
  </w:style>
  <w:style w:type="table" w:styleId="TableGrid">
    <w:name w:val="Table Grid"/>
    <w:basedOn w:val="TableNormal"/>
    <w:uiPriority w:val="39"/>
    <w:rsid w:val="00B12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4</cp:revision>
  <dcterms:created xsi:type="dcterms:W3CDTF">2023-01-02T14:04:00Z</dcterms:created>
  <dcterms:modified xsi:type="dcterms:W3CDTF">2023-01-05T17:11:00Z</dcterms:modified>
</cp:coreProperties>
</file>